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603D" w14:textId="77777777" w:rsidR="00A10414" w:rsidRPr="00954042" w:rsidRDefault="00A10414" w:rsidP="00A10414">
      <w:pPr>
        <w:pStyle w:val="NoSpacing"/>
        <w:rPr>
          <w:i/>
          <w:sz w:val="20"/>
          <w:szCs w:val="20"/>
        </w:rPr>
      </w:pPr>
      <w:r w:rsidRPr="00954042">
        <w:rPr>
          <w:i/>
          <w:sz w:val="20"/>
          <w:szCs w:val="20"/>
        </w:rPr>
        <w:t xml:space="preserve">Note: 1 credit point = 10 hours of </w:t>
      </w:r>
      <w:r w:rsidR="00AC1BC9" w:rsidRPr="00954042">
        <w:rPr>
          <w:i/>
          <w:sz w:val="20"/>
          <w:szCs w:val="20"/>
        </w:rPr>
        <w:t>delegate</w:t>
      </w:r>
      <w:r w:rsidRPr="00954042">
        <w:rPr>
          <w:i/>
          <w:sz w:val="20"/>
          <w:szCs w:val="20"/>
        </w:rPr>
        <w:t xml:space="preserve"> effort</w:t>
      </w:r>
    </w:p>
    <w:p w14:paraId="5A31D59B" w14:textId="77777777" w:rsidR="00EA64C5" w:rsidRDefault="00EA64C5" w:rsidP="00A10414">
      <w:pPr>
        <w:pStyle w:val="NoSpacing"/>
        <w:rPr>
          <w:sz w:val="22"/>
        </w:rPr>
      </w:pPr>
    </w:p>
    <w:tbl>
      <w:tblPr>
        <w:tblpPr w:leftFromText="180" w:rightFromText="180" w:vertAnchor="text" w:tblpX="-8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4006"/>
        <w:gridCol w:w="529"/>
        <w:gridCol w:w="2879"/>
        <w:gridCol w:w="538"/>
      </w:tblGrid>
      <w:tr w:rsidR="00016A71" w:rsidRPr="00B54DA2" w14:paraId="2CFE535F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44DC8628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b/>
                <w:i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>1.  Course Title</w:t>
            </w:r>
            <w:r w:rsidRPr="00EA2FE5">
              <w:rPr>
                <w:sz w:val="20"/>
                <w:szCs w:val="20"/>
              </w:rPr>
              <w:t>:</w:t>
            </w:r>
          </w:p>
          <w:p w14:paraId="5B13871E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sz w:val="20"/>
                <w:szCs w:val="20"/>
              </w:rPr>
            </w:pPr>
            <w:r w:rsidRPr="00EA2FE5">
              <w:rPr>
                <w:i/>
                <w:sz w:val="18"/>
                <w:szCs w:val="18"/>
              </w:rPr>
              <w:t>(80 characters max)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337AE5" w14:textId="1B0C9251" w:rsidR="00016A71" w:rsidRPr="00101893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32741">
              <w:t>Enhancing Interstitial Lung Disease (ILD) Care in Professional Practice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16A71" w:rsidRPr="00B54DA2" w14:paraId="4CADBC05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3D1357C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 xml:space="preserve">2. </w:t>
            </w:r>
            <w:r w:rsidRPr="00EA2FE5">
              <w:rPr>
                <w:b/>
                <w:sz w:val="20"/>
                <w:szCs w:val="20"/>
              </w:rPr>
              <w:tab/>
              <w:t>Credit Points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DA4F1" w14:textId="11D80E75" w:rsidR="00016A71" w:rsidRPr="00F4230D" w:rsidRDefault="00016A71" w:rsidP="0028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  <w:r w:rsidRPr="00101893">
              <w:rPr>
                <w:sz w:val="20"/>
                <w:szCs w:val="20"/>
              </w:rPr>
              <w:t xml:space="preserve">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 1</w:t>
            </w:r>
            <w:r w:rsidRPr="00101893">
              <w:rPr>
                <w:sz w:val="20"/>
                <w:szCs w:val="20"/>
              </w:rPr>
              <w:t xml:space="preserve">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15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30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A5A6826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4012D911" w14:textId="77777777" w:rsidR="00016A71" w:rsidRPr="00EA2FE5" w:rsidRDefault="00016A71" w:rsidP="00AA1967">
            <w:pPr>
              <w:pStyle w:val="NoSpacing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2FE5">
              <w:rPr>
                <w:b/>
                <w:sz w:val="20"/>
                <w:szCs w:val="20"/>
              </w:rPr>
              <w:t xml:space="preserve">. </w:t>
            </w:r>
            <w:r w:rsidRPr="00EA2FE5">
              <w:rPr>
                <w:b/>
                <w:sz w:val="20"/>
                <w:szCs w:val="20"/>
              </w:rPr>
              <w:tab/>
              <w:t>School</w:t>
            </w:r>
            <w:r w:rsidRPr="00EA2FE5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1E456E" w14:textId="53A42B9D" w:rsidR="00016A71" w:rsidRPr="00EA2FE5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2C679B">
              <w:t>H</w:t>
            </w:r>
            <w:r w:rsidR="001909D9">
              <w:t>ML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16A71" w:rsidRPr="00B54DA2" w14:paraId="32EDDBDB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595A55D1" w14:textId="77777777" w:rsidR="00016A71" w:rsidRPr="004C4E7D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Aims:</w:t>
            </w:r>
          </w:p>
          <w:p w14:paraId="799B0EDC" w14:textId="77777777" w:rsidR="00016A71" w:rsidRPr="00DD4543" w:rsidRDefault="00016A71" w:rsidP="00AA1967">
            <w:pPr>
              <w:pStyle w:val="NoSpacing"/>
              <w:rPr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960941" w14:textId="6579C273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D32741">
              <w:t xml:space="preserve">This course aims to </w:t>
            </w:r>
            <w:r w:rsidR="00037C43">
              <w:t>equip</w:t>
            </w:r>
            <w:r w:rsidR="00D32741">
              <w:t xml:space="preserve"> </w:t>
            </w:r>
            <w:r w:rsidR="00037C43">
              <w:t>healthcare professionals with the necessary knowledge and skills to support the implementation of the OneVoiceILD pathway</w:t>
            </w:r>
            <w:r w:rsidR="004C2820">
              <w:t xml:space="preserve">. It </w:t>
            </w:r>
            <w:r w:rsidR="008260A1">
              <w:t xml:space="preserve">focuses on the recognition and management of Interstitial Lung Disease (ILD), empowering healthcare professionals to </w:t>
            </w:r>
            <w:r w:rsidR="00DB34CF">
              <w:t>improve outcomes and quality of life for patients with ILD.</w:t>
            </w:r>
            <w:r w:rsidR="00AE2164">
              <w:t xml:space="preserve"> </w:t>
            </w:r>
            <w:r w:rsidR="00037C43">
              <w:t xml:space="preserve"> </w:t>
            </w:r>
            <w:r w:rsidR="002D214A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BB13A73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6A1820D8" w14:textId="77777777" w:rsidR="00016A71" w:rsidRDefault="00016A71" w:rsidP="00AA196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5(a). </w:t>
            </w:r>
            <w:r w:rsidRPr="004C4E7D">
              <w:rPr>
                <w:b/>
                <w:sz w:val="20"/>
                <w:szCs w:val="20"/>
              </w:rPr>
              <w:t>Content</w:t>
            </w:r>
            <w:r>
              <w:rPr>
                <w:b/>
                <w:sz w:val="20"/>
                <w:szCs w:val="20"/>
              </w:rPr>
              <w:t>:</w:t>
            </w:r>
          </w:p>
          <w:p w14:paraId="3AB0F8D4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  <w:r w:rsidRPr="00DD454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46A83F" w14:textId="108D162D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95049">
              <w:t>This course provides analysis of the pathophysiology and symptoms of ILD and the classification of major types of ILD based on clinical and radiographic characteristics</w:t>
            </w:r>
            <w:r w:rsidR="00205750" w:rsidRPr="00205750">
              <w:t>.</w:t>
            </w:r>
            <w:r w:rsidR="00E95049">
              <w:t xml:space="preserve"> </w:t>
            </w:r>
            <w:r w:rsidR="008B6B72">
              <w:t xml:space="preserve">Students will be supported in the evaluation and selection of appropriate diagnostic techniques and the interpretation of high-resolution CT and histopathologic findings. Students will evaluate effective treatment options for ILD, including pharmacologic and non-pharmacological therapies, and strategies for effective communication with patients and collaboration across the multidisciplinary team. </w:t>
            </w:r>
            <w:r w:rsidR="00F03EB0" w:rsidRPr="00F03EB0">
              <w:t xml:space="preserve">The course is grounded in a person-centred approach to supporting patients with </w:t>
            </w:r>
            <w:r w:rsidR="00F03EB0">
              <w:t>ILD</w:t>
            </w:r>
            <w:r w:rsidR="00F03EB0" w:rsidRPr="00F03EB0">
              <w:t xml:space="preserve"> and their families and carers.</w:t>
            </w:r>
            <w:r w:rsidR="008B6B72">
              <w:t xml:space="preserve"> </w:t>
            </w:r>
            <w:r w:rsidR="00622693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1FBA0A5E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91C2525" w14:textId="77777777" w:rsidR="00016A71" w:rsidRDefault="00016A71" w:rsidP="00AA1967">
            <w:pPr>
              <w:pStyle w:val="NoSpacing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5(b). Additional Content:</w:t>
            </w:r>
          </w:p>
          <w:p w14:paraId="07C9CE57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refer to guidance notes)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C3A747" w14:textId="77777777" w:rsidR="00580EA7" w:rsidRPr="00580EA7" w:rsidRDefault="00016A71" w:rsidP="00580EA7">
            <w:pPr>
              <w:pStyle w:val="NoSpacing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580EA7" w:rsidRPr="00580EA7">
              <w:t>The course is delivered through self-paced online learning combined with group tutorials held synchronously online. The tutorials are delivered by a tutor who combines clinical expertise with teaching experience, and are designed to support students in understanding course content and relating it to the course assessments and learning outcomes.</w:t>
            </w:r>
          </w:p>
          <w:p w14:paraId="45F51F57" w14:textId="77777777" w:rsidR="00580EA7" w:rsidRPr="00580EA7" w:rsidRDefault="00580EA7" w:rsidP="00580EA7">
            <w:pPr>
              <w:pStyle w:val="NoSpacing"/>
            </w:pPr>
          </w:p>
          <w:p w14:paraId="67C0308F" w14:textId="77777777" w:rsidR="00580EA7" w:rsidRPr="00580EA7" w:rsidRDefault="00580EA7" w:rsidP="00580EA7">
            <w:pPr>
              <w:pStyle w:val="NoSpacing"/>
            </w:pPr>
            <w:r w:rsidRPr="00580EA7">
              <w:t>Additional academic skills support is provided through optional online workshops delivered for all students completing short courses through Education for Health at Level 6.</w:t>
            </w:r>
          </w:p>
          <w:p w14:paraId="5313C3A0" w14:textId="77777777" w:rsidR="00580EA7" w:rsidRPr="00580EA7" w:rsidRDefault="00580EA7" w:rsidP="00580EA7">
            <w:pPr>
              <w:pStyle w:val="NoSpacing"/>
            </w:pPr>
          </w:p>
          <w:p w14:paraId="63FDA789" w14:textId="7BCCF146" w:rsidR="00016A71" w:rsidRDefault="00580EA7" w:rsidP="00580EA7">
            <w:pPr>
              <w:pStyle w:val="NoSpacing"/>
              <w:rPr>
                <w:sz w:val="20"/>
                <w:szCs w:val="20"/>
              </w:rPr>
            </w:pPr>
            <w:r w:rsidRPr="00580EA7">
              <w:t xml:space="preserve">Assessment for the course consists of a 15- to 20-minute online presentation accompanied by a reference list. This equates to 100% of the course </w:t>
            </w:r>
            <w:r w:rsidR="001909D9">
              <w:t>grade</w:t>
            </w:r>
            <w:r w:rsidRPr="00580EA7">
              <w:t xml:space="preserve"> and assesses all learning outcomes</w:t>
            </w:r>
            <w:r>
              <w:t>.</w:t>
            </w:r>
            <w:r w:rsidR="00016A71">
              <w:rPr>
                <w:sz w:val="20"/>
                <w:szCs w:val="20"/>
              </w:rPr>
              <w:fldChar w:fldCharType="end"/>
            </w:r>
          </w:p>
          <w:p w14:paraId="15111AFF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  <w:p w14:paraId="4C457583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6CFC0B70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F2C8194" w14:textId="77777777" w:rsidR="00016A71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Target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4C4E7D">
              <w:rPr>
                <w:b/>
                <w:sz w:val="20"/>
                <w:szCs w:val="20"/>
              </w:rPr>
              <w:t>udience:</w:t>
            </w:r>
          </w:p>
          <w:p w14:paraId="2973E4E8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i/>
                <w:sz w:val="18"/>
                <w:szCs w:val="18"/>
              </w:rPr>
              <w:t xml:space="preserve">(for publication, please include </w:t>
            </w:r>
            <w:r>
              <w:rPr>
                <w:i/>
                <w:sz w:val="18"/>
                <w:szCs w:val="18"/>
              </w:rPr>
              <w:t>pre-requisites</w:t>
            </w:r>
            <w:r w:rsidRPr="00DD454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215F76" w14:textId="7F62146D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bookmarkStart w:id="2" w:name="_Hlk199489064"/>
            <w:r w:rsidR="005B4599">
              <w:t>Registered h</w:t>
            </w:r>
            <w:r w:rsidR="00AC5A86">
              <w:t>ealthcare professionals in</w:t>
            </w:r>
            <w:r w:rsidR="00844396">
              <w:t xml:space="preserve"> secondary</w:t>
            </w:r>
            <w:r w:rsidR="00AC5A86">
              <w:t xml:space="preserve"> care</w:t>
            </w:r>
            <w:bookmarkEnd w:id="2"/>
            <w:r w:rsidR="00AC5A86">
              <w:t>.</w:t>
            </w:r>
            <w:r>
              <w:rPr>
                <w:sz w:val="20"/>
                <w:szCs w:val="20"/>
              </w:rPr>
              <w:fldChar w:fldCharType="end"/>
            </w:r>
          </w:p>
          <w:p w14:paraId="41582123" w14:textId="77777777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2D6123F8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1C4FABB8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F1EB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ab/>
            </w:r>
            <w:r w:rsidRPr="000F1EB7">
              <w:rPr>
                <w:b/>
                <w:sz w:val="20"/>
                <w:szCs w:val="20"/>
              </w:rPr>
              <w:t>Learning Outcome</w:t>
            </w:r>
            <w:r>
              <w:rPr>
                <w:b/>
                <w:sz w:val="20"/>
                <w:szCs w:val="20"/>
              </w:rPr>
              <w:t>s</w:t>
            </w:r>
          </w:p>
          <w:p w14:paraId="377B7834" w14:textId="77777777" w:rsidR="00016A71" w:rsidRPr="00F4230D" w:rsidRDefault="00016A71" w:rsidP="00016A71">
            <w:pPr>
              <w:pStyle w:val="NoSpacing"/>
              <w:rPr>
                <w:rFonts w:cs="Arial"/>
                <w:bCs/>
                <w:i/>
                <w:color w:val="221E1F"/>
                <w:sz w:val="18"/>
                <w:szCs w:val="18"/>
              </w:rPr>
            </w:pP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(The student will demonstrate the learning outcomes in an academic and/or work-based setting. The 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SEEC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Level Descriptors should be used to help create learning outcomes appropriate to Level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lastRenderedPageBreak/>
              <w:t>6 in the context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of the subject area concerned.)</w:t>
            </w:r>
          </w:p>
          <w:p w14:paraId="16BF2BE0" w14:textId="77777777" w:rsidR="00016A71" w:rsidRPr="00B54DA2" w:rsidRDefault="00016A71" w:rsidP="003A4EEE">
            <w:pPr>
              <w:pStyle w:val="NoSpacing"/>
              <w:ind w:left="284" w:right="-73" w:hanging="284"/>
              <w:rPr>
                <w:b/>
                <w:sz w:val="20"/>
                <w:szCs w:val="20"/>
              </w:rPr>
            </w:pP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02E0B4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lastRenderedPageBreak/>
              <w:t>Knowledge &amp; Understanding - related learning outcome(s):</w:t>
            </w:r>
          </w:p>
          <w:p w14:paraId="6C73394C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i/>
                <w:color w:val="7F7F7F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1B6A05A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4D66D66B" w14:textId="7645A04F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FA5780" w:rsidRPr="00FA5780">
              <w:t>Analyse the pathophysiology and symptoms of Interstitial Lung Disease (ILD) and classify major types of ILD based on clinical and radiographic characteristics.</w:t>
            </w:r>
            <w:r w:rsidR="0070514A" w:rsidRPr="0070514A">
              <w:t xml:space="preserve"> 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  <w:p w14:paraId="7D3C940B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18086DA6" w14:textId="492D5BE8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 xml:space="preserve">2 </w:t>
            </w:r>
            <w:r w:rsidRPr="0026107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261079">
              <w:rPr>
                <w:sz w:val="20"/>
                <w:szCs w:val="20"/>
              </w:rPr>
              <w:instrText xml:space="preserve"> FORMTEXT </w:instrText>
            </w:r>
            <w:r w:rsidRPr="00261079">
              <w:rPr>
                <w:sz w:val="20"/>
                <w:szCs w:val="20"/>
              </w:rPr>
            </w:r>
            <w:r w:rsidRPr="00261079">
              <w:rPr>
                <w:sz w:val="20"/>
                <w:szCs w:val="20"/>
              </w:rPr>
              <w:fldChar w:fldCharType="separate"/>
            </w:r>
            <w:r w:rsidR="000B1243" w:rsidRPr="000B1243">
              <w:t>Demonstrate a comprehensive understanding of ILD symptoms and employ and interpret appropriate diagnostic techniques, including imaging and pulmonary function tests.</w:t>
            </w:r>
            <w:r w:rsidR="000B73D9" w:rsidRPr="000B73D9">
              <w:t xml:space="preserve"> </w:t>
            </w:r>
            <w:r w:rsidR="007A073C" w:rsidRPr="007A073C">
              <w:t xml:space="preserve"> </w:t>
            </w:r>
            <w:r w:rsidRPr="00261079">
              <w:rPr>
                <w:noProof/>
                <w:sz w:val="20"/>
                <w:szCs w:val="20"/>
              </w:rPr>
              <w:t xml:space="preserve"> </w:t>
            </w:r>
            <w:r w:rsidRPr="00261079">
              <w:rPr>
                <w:sz w:val="20"/>
                <w:szCs w:val="20"/>
              </w:rPr>
              <w:fldChar w:fldCharType="end"/>
            </w:r>
          </w:p>
          <w:p w14:paraId="16633254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768E7CC1" w14:textId="6C2B9F8E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FE01D6" w:rsidRPr="00FE01D6">
              <w:t xml:space="preserve">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5354F9D0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7E008A95" w14:textId="180DADDF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 w:rsidR="00DE368A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5D17727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>
              <w:rPr>
                <w:rFonts w:ascii="Frutiger-Cn" w:hAnsi="Frutiger-Cn" w:cs="Frutiger-Cn"/>
                <w:sz w:val="20"/>
                <w:szCs w:val="20"/>
                <w:lang w:eastAsia="en-GB"/>
              </w:rPr>
              <w:t xml:space="preserve"> </w:t>
            </w:r>
          </w:p>
          <w:p w14:paraId="7FD50B46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2B1E833A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 xml:space="preserve">Skills &amp; Attributes </w:t>
            </w: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>- related learning outcome(s):</w:t>
            </w:r>
          </w:p>
          <w:p w14:paraId="4C9D1938" w14:textId="77777777" w:rsidR="00016A71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41DD485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612C367F" w14:textId="23155E80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C75548" w:rsidRPr="00C75548">
              <w:t>Justify and reflect on a holistic, person-centred approach to effectively supporting patients with ILD, demonstrating the application of both pharmacological and non-pharmacological therapies, including an understanding of working within a multidisciplinary team to provide comprehensive care for patients and their families or carers.</w:t>
            </w:r>
            <w:r w:rsidR="00C71BF8" w:rsidRPr="00C71BF8">
              <w:t xml:space="preserve">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83395A0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6E00261D" w14:textId="26D8224B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C71BF8" w:rsidRPr="00C71BF8">
              <w:t xml:space="preserve">   </w:t>
            </w:r>
            <w:r w:rsidR="00DC2014" w:rsidRPr="00DC2014">
              <w:t xml:space="preserve"> </w:t>
            </w:r>
            <w:r>
              <w:rPr>
                <w:i/>
                <w:noProof/>
                <w:sz w:val="20"/>
                <w:szCs w:val="20"/>
              </w:rPr>
              <w:t xml:space="preserve">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16C324A4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57617607" w14:textId="4CA8659F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281539" w:rsidRPr="00281539">
              <w:t xml:space="preserve"> </w:t>
            </w:r>
            <w:r>
              <w:rPr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50F9CB33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32C5A34B" w14:textId="77777777" w:rsidR="00B94421" w:rsidRDefault="00016A7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</w:p>
          <w:p w14:paraId="65871439" w14:textId="77777777" w:rsidR="00B94421" w:rsidRDefault="00B9442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</w:p>
          <w:p w14:paraId="0051BDD5" w14:textId="77777777" w:rsidR="00B94421" w:rsidRDefault="00B9442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</w:p>
          <w:p w14:paraId="32F56C1B" w14:textId="77777777" w:rsidR="00B94421" w:rsidRDefault="00B9442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</w:p>
          <w:p w14:paraId="3ABA4335" w14:textId="77777777" w:rsidR="00B94421" w:rsidRDefault="00B9442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</w:p>
          <w:p w14:paraId="25AF164C" w14:textId="77777777" w:rsidR="00B94421" w:rsidRDefault="00B9442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</w:p>
          <w:p w14:paraId="4B8BCC2C" w14:textId="77777777" w:rsidR="00B94421" w:rsidRDefault="00B9442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</w:p>
          <w:p w14:paraId="0C3CA207" w14:textId="77777777" w:rsidR="00B94421" w:rsidRDefault="00B9442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</w:p>
          <w:p w14:paraId="19F54982" w14:textId="0D20AD6E" w:rsidR="00016A71" w:rsidRDefault="00016A7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end"/>
            </w:r>
          </w:p>
          <w:p w14:paraId="7211BBDE" w14:textId="77777777" w:rsidR="00016A71" w:rsidRPr="00B54DA2" w:rsidRDefault="00016A71" w:rsidP="00016A71">
            <w:pPr>
              <w:spacing w:after="0" w:line="228" w:lineRule="auto"/>
              <w:rPr>
                <w:sz w:val="20"/>
                <w:szCs w:val="20"/>
              </w:rPr>
            </w:pPr>
          </w:p>
        </w:tc>
      </w:tr>
      <w:tr w:rsidR="00016A71" w:rsidRPr="00B54DA2" w14:paraId="51578DC4" w14:textId="77777777" w:rsidTr="00016A71">
        <w:trPr>
          <w:trHeight w:val="127"/>
        </w:trPr>
        <w:tc>
          <w:tcPr>
            <w:tcW w:w="923" w:type="pct"/>
            <w:vMerge w:val="restart"/>
            <w:tcBorders>
              <w:right w:val="single" w:sz="4" w:space="0" w:color="auto"/>
            </w:tcBorders>
          </w:tcPr>
          <w:p w14:paraId="02AD9F5D" w14:textId="77777777" w:rsidR="00016A71" w:rsidRPr="00DD7E28" w:rsidRDefault="00016A71" w:rsidP="003A4EEE">
            <w:pPr>
              <w:pStyle w:val="NoSpacing"/>
              <w:ind w:left="284" w:right="-73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lastRenderedPageBreak/>
              <w:t>8.</w:t>
            </w:r>
            <w:r w:rsidRPr="00B54DA2">
              <w:rPr>
                <w:b/>
                <w:sz w:val="20"/>
                <w:szCs w:val="20"/>
              </w:rPr>
              <w:tab/>
              <w:t>Learning &amp; Teaching methods</w:t>
            </w:r>
            <w:r w:rsidRPr="00B54DA2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76416" w14:textId="77777777" w:rsidR="00016A71" w:rsidRPr="00B54DA2" w:rsidRDefault="00016A71" w:rsidP="003A4EEE">
            <w:pPr>
              <w:spacing w:after="0" w:line="228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&amp; Teaching methods will include:</w:t>
            </w:r>
          </w:p>
        </w:tc>
      </w:tr>
      <w:tr w:rsidR="00016A71" w:rsidRPr="00B54DA2" w14:paraId="53BE7900" w14:textId="77777777" w:rsidTr="00016A71">
        <w:trPr>
          <w:trHeight w:val="2165"/>
        </w:trPr>
        <w:tc>
          <w:tcPr>
            <w:tcW w:w="923" w:type="pct"/>
            <w:vMerge/>
            <w:tcBorders>
              <w:right w:val="single" w:sz="4" w:space="0" w:color="auto"/>
            </w:tcBorders>
          </w:tcPr>
          <w:p w14:paraId="26E666A8" w14:textId="77777777" w:rsidR="00016A71" w:rsidRPr="00B54DA2" w:rsidRDefault="00016A71" w:rsidP="003A4E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FCF553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Classroom   </w:t>
            </w:r>
          </w:p>
          <w:p w14:paraId="565C5721" w14:textId="77777777" w:rsidR="00016A71" w:rsidRPr="00B54DA2" w:rsidRDefault="00016A71" w:rsidP="003A4EEE">
            <w:pPr>
              <w:pStyle w:val="NoSpacing"/>
              <w:tabs>
                <w:tab w:val="left" w:pos="3668"/>
                <w:tab w:val="right" w:pos="3921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</w:t>
            </w:r>
            <w:proofErr w:type="gramStart"/>
            <w:r w:rsidRPr="00B54DA2">
              <w:rPr>
                <w:sz w:val="20"/>
                <w:szCs w:val="20"/>
              </w:rPr>
              <w:t>on line</w:t>
            </w:r>
            <w:proofErr w:type="gramEnd"/>
            <w:r w:rsidRPr="00B54DA2">
              <w:rPr>
                <w:sz w:val="20"/>
                <w:szCs w:val="20"/>
              </w:rPr>
              <w:t xml:space="preserve">                                  </w:t>
            </w:r>
          </w:p>
          <w:p w14:paraId="2F876F12" w14:textId="77777777" w:rsidR="00016A71" w:rsidRPr="00B54DA2" w:rsidRDefault="00016A71" w:rsidP="003A4EEE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Package                              </w:t>
            </w:r>
          </w:p>
          <w:p w14:paraId="79BCD675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Enquiry based learning                       </w:t>
            </w:r>
          </w:p>
          <w:p w14:paraId="5C7C4D4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Group Work based learning</w:t>
            </w:r>
          </w:p>
          <w:p w14:paraId="27AE541F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Individual Work based learning</w:t>
            </w:r>
          </w:p>
          <w:p w14:paraId="65DDF83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Problem based learning</w:t>
            </w:r>
            <w:r w:rsidR="009F7078">
              <w:rPr>
                <w:noProof/>
                <w:sz w:val="20"/>
                <w:szCs w:val="20"/>
                <w:lang w:eastAsia="en-GB"/>
              </w:rPr>
              <w:pict w14:anchorId="59161A1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2pt;height:1.2pt;visibility:visibl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900DF" w14:textId="6E1F94E9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5F3342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E242DB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CFA506C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9EC06A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EC79F6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6B3A82B0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47F17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Simulation</w:t>
            </w:r>
          </w:p>
          <w:p w14:paraId="2D7C7797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Supervised based learning</w:t>
            </w:r>
          </w:p>
          <w:p w14:paraId="1B04945B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Tutorial</w:t>
            </w:r>
          </w:p>
          <w:p w14:paraId="19BC18E3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Audiovisual Internet Protocol  </w:t>
            </w:r>
          </w:p>
          <w:p w14:paraId="60138E4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Work-related learning</w:t>
            </w:r>
          </w:p>
          <w:p w14:paraId="69466DD8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Workshop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F0E3D1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D60956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D5161E4" w14:textId="4B733BB3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6256C3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4B5C56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C632CE8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3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4D34E218" w14:textId="77777777" w:rsidR="00AD3B29" w:rsidRDefault="00AD3B29"/>
    <w:p w14:paraId="00D29E8B" w14:textId="77777777" w:rsidR="00016A71" w:rsidRDefault="00016A71"/>
    <w:tbl>
      <w:tblPr>
        <w:tblpPr w:leftFromText="180" w:rightFromText="180" w:vertAnchor="text" w:tblpX="-56" w:tblpY="1"/>
        <w:tblOverlap w:val="never"/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151"/>
        <w:gridCol w:w="541"/>
        <w:gridCol w:w="2951"/>
        <w:gridCol w:w="583"/>
      </w:tblGrid>
      <w:tr w:rsidR="00DD7E28" w:rsidRPr="00B54DA2" w14:paraId="21BE434C" w14:textId="77777777" w:rsidTr="007830D1">
        <w:trPr>
          <w:trHeight w:val="58"/>
        </w:trPr>
        <w:tc>
          <w:tcPr>
            <w:tcW w:w="880" w:type="pct"/>
            <w:vMerge w:val="restart"/>
            <w:tcBorders>
              <w:right w:val="single" w:sz="4" w:space="0" w:color="auto"/>
            </w:tcBorders>
          </w:tcPr>
          <w:p w14:paraId="2B18FC96" w14:textId="77777777" w:rsidR="00E31A37" w:rsidRDefault="00553190" w:rsidP="00DD7E28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9</w:t>
            </w:r>
            <w:r w:rsidR="00066028" w:rsidRPr="00B54DA2">
              <w:rPr>
                <w:b/>
                <w:sz w:val="20"/>
                <w:szCs w:val="20"/>
              </w:rPr>
              <w:t>.</w:t>
            </w:r>
            <w:r w:rsidR="00066028" w:rsidRPr="00B54DA2">
              <w:rPr>
                <w:b/>
                <w:sz w:val="20"/>
                <w:szCs w:val="20"/>
              </w:rPr>
              <w:tab/>
              <w:t>Assessment</w:t>
            </w:r>
            <w:r w:rsidR="00066028" w:rsidRPr="00B54DA2">
              <w:rPr>
                <w:sz w:val="20"/>
                <w:szCs w:val="20"/>
              </w:rPr>
              <w:t>:</w:t>
            </w:r>
          </w:p>
          <w:p w14:paraId="789EC1E9" w14:textId="77777777" w:rsidR="00AD3B29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  <w:p w14:paraId="7D81EE8E" w14:textId="77777777" w:rsidR="00AD3B29" w:rsidRPr="00B54DA2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9BD2F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How will the </w:t>
            </w:r>
            <w:r w:rsidR="0008074A" w:rsidRPr="00B54DA2">
              <w:rPr>
                <w:sz w:val="20"/>
                <w:szCs w:val="20"/>
              </w:rPr>
              <w:t>assessment</w:t>
            </w:r>
            <w:r w:rsidRPr="00B54DA2">
              <w:rPr>
                <w:sz w:val="20"/>
                <w:szCs w:val="20"/>
              </w:rPr>
              <w:t xml:space="preserve"> be marked</w:t>
            </w:r>
            <w:r w:rsidR="0008074A"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CBC12B" w14:textId="33586C1A" w:rsidR="00E31A37" w:rsidRPr="00B54DA2" w:rsidRDefault="0008074A" w:rsidP="00DD7E28">
            <w:pPr>
              <w:pStyle w:val="NoSpacing"/>
              <w:tabs>
                <w:tab w:val="left" w:pos="896"/>
                <w:tab w:val="left" w:pos="1604"/>
                <w:tab w:val="left" w:pos="2786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Pass/Fail</w:t>
            </w:r>
            <w:r w:rsidRPr="00B54DA2">
              <w:rPr>
                <w:sz w:val="20"/>
                <w:szCs w:val="20"/>
              </w:rPr>
              <w:tab/>
              <w:t xml:space="preserve">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  <w:r w:rsidR="00E31A37" w:rsidRPr="00B54DA2">
              <w:rPr>
                <w:sz w:val="20"/>
                <w:szCs w:val="20"/>
              </w:rPr>
              <w:t>Percentage</w:t>
            </w:r>
            <w:r w:rsidRPr="00B54DA2">
              <w:rPr>
                <w:sz w:val="20"/>
                <w:szCs w:val="20"/>
              </w:rPr>
              <w:tab/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="00E31A37" w:rsidRPr="00B54DA2">
              <w:rPr>
                <w:sz w:val="20"/>
                <w:szCs w:val="20"/>
              </w:rPr>
              <w:t xml:space="preserve">  </w:t>
            </w:r>
          </w:p>
        </w:tc>
      </w:tr>
      <w:tr w:rsidR="00DD7E28" w:rsidRPr="00B54DA2" w14:paraId="76DE1312" w14:textId="77777777" w:rsidTr="007830D1">
        <w:trPr>
          <w:trHeight w:val="3314"/>
        </w:trPr>
        <w:tc>
          <w:tcPr>
            <w:tcW w:w="880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1B2888B0" w14:textId="77777777" w:rsidR="00E31A37" w:rsidRPr="00B54DA2" w:rsidRDefault="00E31A37" w:rsidP="00DD7E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1085C0" w14:textId="77777777" w:rsidR="00F50862" w:rsidRPr="00B54DA2" w:rsidRDefault="00F50862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Submission will include:</w:t>
            </w:r>
          </w:p>
          <w:p w14:paraId="7DE81154" w14:textId="77777777" w:rsidR="00E31A37" w:rsidRPr="00B54DA2" w:rsidRDefault="00E31A37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Book Review                                       </w:t>
            </w:r>
          </w:p>
          <w:p w14:paraId="4AEDCA0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Case Study</w:t>
            </w:r>
          </w:p>
          <w:p w14:paraId="1F6BB0BB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Design/Development of a Product</w:t>
            </w:r>
          </w:p>
          <w:p w14:paraId="0167AF08" w14:textId="77777777" w:rsidR="00E31A37" w:rsidRPr="00B54DA2" w:rsidRDefault="003B683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 based Project</w:t>
            </w:r>
          </w:p>
          <w:p w14:paraId="01B2891F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Log</w:t>
            </w:r>
          </w:p>
          <w:p w14:paraId="39431B1E" w14:textId="77777777" w:rsidR="00F50862" w:rsidRPr="000133D3" w:rsidRDefault="00F50862" w:rsidP="00DD7E28">
            <w:pPr>
              <w:pStyle w:val="NoSpacing"/>
              <w:spacing w:before="60" w:after="60"/>
              <w:ind w:right="-109"/>
              <w:rPr>
                <w:sz w:val="20"/>
                <w:szCs w:val="20"/>
              </w:rPr>
            </w:pP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Objective Structured Clinical Exam</w:t>
            </w:r>
            <w:r w:rsidRPr="000133D3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OSCE</w:t>
            </w:r>
            <w:r w:rsidRPr="000133D3">
              <w:rPr>
                <w:rFonts w:cs="Arial"/>
                <w:b/>
                <w:sz w:val="20"/>
                <w:szCs w:val="20"/>
              </w:rPr>
              <w:t>)</w:t>
            </w:r>
          </w:p>
          <w:p w14:paraId="5E741D5B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Performance</w:t>
            </w:r>
          </w:p>
          <w:p w14:paraId="27971A4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Presentation</w:t>
            </w:r>
          </w:p>
          <w:p w14:paraId="6AD7F70C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Project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2D7EB8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3E634052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0A75DCA" w14:textId="46E74BE0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FC5B34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E7A5FD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7BA916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B6A0978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DFA18A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5"/>
          </w:p>
          <w:p w14:paraId="4E8FE919" w14:textId="4C03C049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6" w:name="Check15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6"/>
          </w:p>
          <w:p w14:paraId="01EE53A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6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0BF2E7" w14:textId="77777777" w:rsidR="00F50862" w:rsidRPr="00B54DA2" w:rsidRDefault="00F5086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</w:p>
          <w:p w14:paraId="78725B7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Publication</w:t>
            </w:r>
          </w:p>
          <w:p w14:paraId="562BC30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Portfolio</w:t>
            </w:r>
          </w:p>
          <w:p w14:paraId="67E541C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Report</w:t>
            </w:r>
          </w:p>
          <w:p w14:paraId="61183FA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Test</w:t>
            </w:r>
          </w:p>
          <w:p w14:paraId="7A4F193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Diary</w:t>
            </w:r>
          </w:p>
          <w:p w14:paraId="47878FF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Evidence of Practice</w:t>
            </w:r>
          </w:p>
          <w:p w14:paraId="36AA3B0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Written Paper</w:t>
            </w:r>
          </w:p>
          <w:p w14:paraId="3BA6C4D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Other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A7BBF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63CA09B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8E41F6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2949AE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A07D235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91814D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BE56BC8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B649720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7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8"/>
          </w:p>
          <w:p w14:paraId="7D065454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8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79B5014C" w14:textId="77777777" w:rsidR="008E3219" w:rsidRDefault="008E3219">
      <w:pPr>
        <w:spacing w:after="0"/>
        <w:rPr>
          <w:vanish/>
        </w:rPr>
      </w:pPr>
    </w:p>
    <w:tbl>
      <w:tblPr>
        <w:tblpPr w:leftFromText="180" w:rightFromText="180" w:vertAnchor="text" w:horzAnchor="margin" w:tblpX="-28" w:tblpY="3850"/>
        <w:tblOverlap w:val="never"/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3"/>
        <w:gridCol w:w="8237"/>
      </w:tblGrid>
      <w:tr w:rsidR="007830D1" w:rsidRPr="00B54DA2" w14:paraId="7204B42A" w14:textId="77777777" w:rsidTr="00016A71">
        <w:trPr>
          <w:trHeight w:hRule="exact" w:val="3907"/>
        </w:trPr>
        <w:tc>
          <w:tcPr>
            <w:tcW w:w="873" w:type="pct"/>
            <w:tcBorders>
              <w:bottom w:val="single" w:sz="4" w:space="0" w:color="000000"/>
            </w:tcBorders>
          </w:tcPr>
          <w:p w14:paraId="408EA3C8" w14:textId="77777777" w:rsidR="00B84C16" w:rsidRPr="00B54DA2" w:rsidRDefault="00B84C16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lastRenderedPageBreak/>
              <w:t xml:space="preserve">10. Approval </w:t>
            </w:r>
          </w:p>
          <w:p w14:paraId="3B2E0E71" w14:textId="77777777" w:rsidR="00B84C16" w:rsidRPr="00B54DA2" w:rsidRDefault="00B84C16" w:rsidP="00016A71">
            <w:pPr>
              <w:pStyle w:val="NoSpacing"/>
              <w:rPr>
                <w:position w:val="-6"/>
                <w:sz w:val="20"/>
                <w:szCs w:val="20"/>
              </w:rPr>
            </w:pP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0ECD645" w14:textId="77777777" w:rsidR="00B84C16" w:rsidRPr="00DD7E28" w:rsidRDefault="00B84C16" w:rsidP="00016A71">
            <w:pPr>
              <w:pStyle w:val="NoSpacing"/>
              <w:tabs>
                <w:tab w:val="left" w:pos="3535"/>
              </w:tabs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been externally approved, 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and that the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School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48E5115F" w14:textId="77777777" w:rsidR="00B84C16" w:rsidRPr="00B54DA2" w:rsidRDefault="00B84C16" w:rsidP="00016A71">
            <w:pPr>
              <w:pStyle w:val="NoSpacing"/>
              <w:tabs>
                <w:tab w:val="left" w:pos="3535"/>
              </w:tabs>
              <w:spacing w:line="120" w:lineRule="auto"/>
              <w:rPr>
                <w:sz w:val="20"/>
                <w:szCs w:val="20"/>
              </w:rPr>
            </w:pPr>
          </w:p>
          <w:p w14:paraId="16D8508A" w14:textId="77777777" w:rsidR="00B84C16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</w:t>
            </w:r>
            <w:r w:rsidRPr="00B54DA2">
              <w:rPr>
                <w:sz w:val="20"/>
                <w:szCs w:val="20"/>
              </w:rPr>
              <w:t>oS</w:t>
            </w:r>
          </w:p>
          <w:p w14:paraId="03968E9C" w14:textId="70DAE5FA" w:rsidR="00B84C16" w:rsidRPr="00B54DA2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nominated HoD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C37A2D">
              <w:t>Karen Beeton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C37A2D">
              <w:t>11.07.25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1E9AD4B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3CAA000C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</w:t>
            </w:r>
            <w:r w:rsidRPr="00B54DA2">
              <w:rPr>
                <w:rFonts w:cs="Arial"/>
                <w:i/>
                <w:sz w:val="18"/>
                <w:szCs w:val="18"/>
              </w:rPr>
              <w:t>been completed correctly</w:t>
            </w:r>
            <w:r>
              <w:rPr>
                <w:rFonts w:cs="Arial"/>
                <w:i/>
                <w:sz w:val="18"/>
                <w:szCs w:val="18"/>
              </w:rPr>
              <w:t>, that the aims, learning outcomes, academic content, level and credit-rating are appropriate,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and </w:t>
            </w:r>
            <w:r>
              <w:rPr>
                <w:rFonts w:cs="Arial"/>
                <w:i/>
                <w:sz w:val="18"/>
                <w:szCs w:val="18"/>
              </w:rPr>
              <w:t xml:space="preserve">that </w:t>
            </w:r>
            <w:r w:rsidRPr="00B54DA2">
              <w:rPr>
                <w:rFonts w:cs="Arial"/>
                <w:i/>
                <w:sz w:val="18"/>
                <w:szCs w:val="18"/>
              </w:rPr>
              <w:t>academic process has been followed:</w:t>
            </w:r>
          </w:p>
          <w:p w14:paraId="60D0921E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3C8266DC" w14:textId="12983593" w:rsidR="00B84C16" w:rsidRPr="00B54DA2" w:rsidRDefault="00B84C16" w:rsidP="00016A71">
            <w:pPr>
              <w:pStyle w:val="NoSpacing"/>
              <w:tabs>
                <w:tab w:val="left" w:pos="35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Signature </w:t>
            </w:r>
            <w:proofErr w:type="gramStart"/>
            <w:r>
              <w:rPr>
                <w:sz w:val="20"/>
                <w:szCs w:val="20"/>
              </w:rPr>
              <w:t>ADoS(</w:t>
            </w:r>
            <w:proofErr w:type="gramEnd"/>
            <w:r>
              <w:rPr>
                <w:sz w:val="20"/>
                <w:szCs w:val="20"/>
              </w:rPr>
              <w:t>AQA)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1909D9">
              <w:t>Stefanie Schmeer (nominee)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1909D9">
              <w:t>29/07/2025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1B0D737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283D5C42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>I confirm that the organisation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55090C71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572F3B4B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sz w:val="20"/>
                <w:szCs w:val="20"/>
              </w:rPr>
              <w:t xml:space="preserve">Signature Resource Manager: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</w:p>
          <w:p w14:paraId="4A0289D5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b/>
                <w:sz w:val="16"/>
                <w:szCs w:val="16"/>
              </w:rPr>
              <w:t>(Collaborative Partners only)</w:t>
            </w:r>
          </w:p>
          <w:p w14:paraId="5E6E8532" w14:textId="77777777" w:rsidR="00B84C16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</w:p>
          <w:p w14:paraId="50F8C0AE" w14:textId="77777777" w:rsidR="00B84C16" w:rsidRPr="00B54DA2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Designation: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</w:p>
        </w:tc>
      </w:tr>
      <w:tr w:rsidR="007830D1" w:rsidRPr="00B54DA2" w14:paraId="11F7A490" w14:textId="77777777" w:rsidTr="00016A71">
        <w:trPr>
          <w:trHeight w:hRule="exact" w:val="1050"/>
        </w:trPr>
        <w:tc>
          <w:tcPr>
            <w:tcW w:w="873" w:type="pct"/>
            <w:tcBorders>
              <w:bottom w:val="single" w:sz="4" w:space="0" w:color="000000"/>
            </w:tcBorders>
          </w:tcPr>
          <w:p w14:paraId="3980B11C" w14:textId="77777777" w:rsidR="00B84C16" w:rsidRPr="00B54DA2" w:rsidRDefault="00B84C16" w:rsidP="00016A71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11.</w:t>
            </w:r>
            <w:r w:rsidRPr="00B54DA2">
              <w:rPr>
                <w:sz w:val="20"/>
                <w:szCs w:val="20"/>
              </w:rPr>
              <w:t xml:space="preserve"> For use </w:t>
            </w:r>
            <w:r>
              <w:rPr>
                <w:sz w:val="20"/>
                <w:szCs w:val="20"/>
              </w:rPr>
              <w:t>O</w:t>
            </w:r>
            <w:r w:rsidRPr="00B54DA2">
              <w:rPr>
                <w:sz w:val="20"/>
                <w:szCs w:val="20"/>
              </w:rPr>
              <w:t>NLY by</w:t>
            </w:r>
            <w:r>
              <w:rPr>
                <w:sz w:val="20"/>
                <w:szCs w:val="20"/>
              </w:rPr>
              <w:t xml:space="preserve"> Academic </w:t>
            </w:r>
            <w:r w:rsidRPr="00B54DA2">
              <w:rPr>
                <w:sz w:val="20"/>
                <w:szCs w:val="20"/>
              </w:rPr>
              <w:t>Registry</w:t>
            </w: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1750C6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Received: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Entered on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</w:t>
            </w:r>
          </w:p>
          <w:p w14:paraId="2E8267FD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Originator Notified: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 short course code allocated: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                       </w:t>
            </w:r>
          </w:p>
          <w:p w14:paraId="5BDC2741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</w:t>
            </w:r>
          </w:p>
          <w:p w14:paraId="27DADA5B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</w:tbl>
    <w:p w14:paraId="6470D112" w14:textId="77777777" w:rsidR="00494005" w:rsidRDefault="00494005"/>
    <w:p w14:paraId="5711988C" w14:textId="77777777" w:rsidR="00E31A37" w:rsidRPr="00322FC9" w:rsidRDefault="00E31A37" w:rsidP="00322FC9">
      <w:pPr>
        <w:spacing w:before="200" w:line="240" w:lineRule="auto"/>
        <w:rPr>
          <w:i/>
          <w:sz w:val="22"/>
        </w:rPr>
      </w:pPr>
      <w:r w:rsidRPr="00B54DA2">
        <w:rPr>
          <w:i/>
          <w:sz w:val="22"/>
        </w:rPr>
        <w:t xml:space="preserve">Upon </w:t>
      </w:r>
      <w:proofErr w:type="gramStart"/>
      <w:r w:rsidRPr="00B54DA2">
        <w:rPr>
          <w:i/>
          <w:sz w:val="22"/>
        </w:rPr>
        <w:t>completion</w:t>
      </w:r>
      <w:proofErr w:type="gramEnd"/>
      <w:r w:rsidRPr="00B54DA2">
        <w:rPr>
          <w:i/>
          <w:sz w:val="22"/>
        </w:rPr>
        <w:t xml:space="preserve"> please submit </w:t>
      </w:r>
      <w:r w:rsidR="00640BD7" w:rsidRPr="00B54DA2">
        <w:rPr>
          <w:i/>
          <w:sz w:val="22"/>
        </w:rPr>
        <w:t>this Short Course Descriptor, along with a</w:t>
      </w:r>
      <w:r w:rsidR="00597A3F" w:rsidRPr="00B54DA2">
        <w:rPr>
          <w:i/>
          <w:sz w:val="22"/>
        </w:rPr>
        <w:t>n associated</w:t>
      </w:r>
      <w:r w:rsidR="00640BD7" w:rsidRPr="00B54DA2">
        <w:rPr>
          <w:i/>
          <w:sz w:val="22"/>
        </w:rPr>
        <w:t xml:space="preserve"> Short Course Instance Form, </w:t>
      </w:r>
      <w:r w:rsidRPr="00B54DA2">
        <w:rPr>
          <w:i/>
          <w:sz w:val="22"/>
        </w:rPr>
        <w:t>to Academic Registry</w:t>
      </w:r>
      <w:r w:rsidRPr="00B84A04">
        <w:rPr>
          <w:i/>
          <w:sz w:val="22"/>
        </w:rPr>
        <w:t xml:space="preserve">, </w:t>
      </w:r>
      <w:r w:rsidR="00E00FF0">
        <w:rPr>
          <w:i/>
          <w:sz w:val="22"/>
        </w:rPr>
        <w:t>MacLaurin Building</w:t>
      </w:r>
      <w:r w:rsidRPr="00B84A04">
        <w:rPr>
          <w:i/>
          <w:sz w:val="22"/>
        </w:rPr>
        <w:t xml:space="preserve"> </w:t>
      </w:r>
      <w:r w:rsidR="00B84A04">
        <w:rPr>
          <w:i/>
          <w:sz w:val="22"/>
        </w:rPr>
        <w:t>(</w:t>
      </w:r>
      <w:hyperlink r:id="rId12" w:history="1">
        <w:r w:rsidR="00B84A04" w:rsidRPr="00B20269">
          <w:rPr>
            <w:rStyle w:val="Hyperlink"/>
            <w:i/>
            <w:sz w:val="22"/>
          </w:rPr>
          <w:t>D.4.Patel@herts.ac.uk</w:t>
        </w:r>
      </w:hyperlink>
      <w:r w:rsidR="00B84A04">
        <w:rPr>
          <w:i/>
          <w:sz w:val="22"/>
        </w:rPr>
        <w:t>)</w:t>
      </w:r>
    </w:p>
    <w:sectPr w:rsidR="00E31A37" w:rsidRPr="00322FC9" w:rsidSect="00101893">
      <w:headerReference w:type="default" r:id="rId13"/>
      <w:footerReference w:type="default" r:id="rId14"/>
      <w:pgSz w:w="11906" w:h="16838" w:code="9"/>
      <w:pgMar w:top="42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36164" w14:textId="77777777" w:rsidR="009F7078" w:rsidRDefault="009F7078">
      <w:pPr>
        <w:spacing w:after="0" w:line="240" w:lineRule="auto"/>
      </w:pPr>
      <w:r>
        <w:separator/>
      </w:r>
    </w:p>
  </w:endnote>
  <w:endnote w:type="continuationSeparator" w:id="0">
    <w:p w14:paraId="4991C2AA" w14:textId="77777777" w:rsidR="009F7078" w:rsidRDefault="009F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13F10" w14:textId="77777777" w:rsidR="002033BE" w:rsidRPr="005216BF" w:rsidRDefault="002033BE" w:rsidP="00070E2F">
    <w:pPr>
      <w:pStyle w:val="Footer"/>
      <w:tabs>
        <w:tab w:val="right" w:pos="9638"/>
      </w:tabs>
      <w:spacing w:after="0" w:line="204" w:lineRule="auto"/>
      <w:rPr>
        <w:sz w:val="18"/>
        <w:szCs w:val="18"/>
        <w:lang w:val="en-GB"/>
      </w:rPr>
    </w:pPr>
    <w:r w:rsidRPr="00070E2F">
      <w:rPr>
        <w:sz w:val="18"/>
        <w:szCs w:val="18"/>
      </w:rPr>
      <w:t xml:space="preserve">Short Course Descriptor Level </w:t>
    </w:r>
    <w:r>
      <w:rPr>
        <w:sz w:val="18"/>
        <w:szCs w:val="18"/>
      </w:rPr>
      <w:t>6</w:t>
    </w:r>
    <w:r w:rsidR="00FE5D7E">
      <w:rPr>
        <w:sz w:val="18"/>
        <w:szCs w:val="18"/>
        <w:lang w:val="en-GB"/>
      </w:rPr>
      <w:t xml:space="preserve"> (</w:t>
    </w:r>
    <w:r w:rsidR="00AD3B29">
      <w:rPr>
        <w:sz w:val="18"/>
        <w:szCs w:val="18"/>
        <w:lang w:val="en-GB"/>
      </w:rPr>
      <w:t>Sept 2014)</w:t>
    </w:r>
  </w:p>
  <w:p w14:paraId="737CE941" w14:textId="77777777" w:rsidR="002033BE" w:rsidRPr="00FC3EDE" w:rsidRDefault="002033BE" w:rsidP="00070E2F">
    <w:pPr>
      <w:pStyle w:val="Footer"/>
      <w:tabs>
        <w:tab w:val="right" w:pos="9638"/>
      </w:tabs>
      <w:spacing w:after="0" w:line="204" w:lineRule="auto"/>
    </w:pPr>
    <w:r w:rsidRPr="00070E2F">
      <w:rPr>
        <w:rFonts w:cs="Arial"/>
        <w:sz w:val="18"/>
        <w:szCs w:val="18"/>
      </w:rPr>
      <w:t>© University of Hertfordshire Hi</w:t>
    </w:r>
    <w:r w:rsidR="005216BF">
      <w:rPr>
        <w:rFonts w:cs="Arial"/>
        <w:sz w:val="18"/>
        <w:szCs w:val="18"/>
      </w:rPr>
      <w:t>gher Education Corporation (201</w:t>
    </w:r>
    <w:r w:rsidR="00AD3B29">
      <w:rPr>
        <w:rFonts w:cs="Arial"/>
        <w:sz w:val="18"/>
        <w:szCs w:val="18"/>
        <w:lang w:val="en-GB"/>
      </w:rPr>
      <w:t>4</w:t>
    </w:r>
    <w:r w:rsidRPr="00070E2F">
      <w:rPr>
        <w:rFonts w:cs="Arial"/>
        <w:sz w:val="18"/>
        <w:szCs w:val="18"/>
      </w:rPr>
      <w:t>)</w:t>
    </w:r>
    <w:r w:rsidRPr="00FC3EDE">
      <w:tab/>
    </w:r>
    <w:r w:rsidRPr="00FC3EDE">
      <w:tab/>
    </w:r>
    <w:r w:rsidRPr="00FC3EDE">
      <w:tab/>
    </w:r>
    <w:r w:rsidRPr="00FC3EDE">
      <w:fldChar w:fldCharType="begin"/>
    </w:r>
    <w:r w:rsidRPr="00FC3EDE">
      <w:instrText xml:space="preserve"> PAGE   \* MERGEFORMAT </w:instrText>
    </w:r>
    <w:r w:rsidRPr="00FC3EDE">
      <w:fldChar w:fldCharType="separate"/>
    </w:r>
    <w:r w:rsidR="00EC3C72">
      <w:rPr>
        <w:noProof/>
      </w:rPr>
      <w:t>1</w:t>
    </w:r>
    <w:r w:rsidRPr="00FC3EDE">
      <w:fldChar w:fldCharType="end"/>
    </w:r>
  </w:p>
  <w:p w14:paraId="1A0D63C8" w14:textId="77777777" w:rsidR="002033BE" w:rsidRPr="00FC3EDE" w:rsidRDefault="002033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13E63" w14:textId="77777777" w:rsidR="009F7078" w:rsidRDefault="009F7078">
      <w:pPr>
        <w:spacing w:after="0" w:line="240" w:lineRule="auto"/>
      </w:pPr>
      <w:r>
        <w:separator/>
      </w:r>
    </w:p>
  </w:footnote>
  <w:footnote w:type="continuationSeparator" w:id="0">
    <w:p w14:paraId="345C633B" w14:textId="77777777" w:rsidR="009F7078" w:rsidRDefault="009F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2B2B" w14:textId="77777777" w:rsidR="002033BE" w:rsidRPr="00D266DA" w:rsidRDefault="009F7078">
    <w:pPr>
      <w:pStyle w:val="Header"/>
      <w:rPr>
        <w:sz w:val="16"/>
        <w:szCs w:val="16"/>
      </w:rPr>
    </w:pPr>
    <w:bookmarkStart w:id="10" w:name="OLE_LINK1"/>
    <w:bookmarkStart w:id="11" w:name="OLE_LINK2"/>
    <w:bookmarkStart w:id="12" w:name="_Hlk265582710"/>
    <w:r>
      <w:rPr>
        <w:b/>
        <w:noProof/>
        <w:color w:val="0070C0"/>
        <w:sz w:val="16"/>
        <w:szCs w:val="16"/>
      </w:rPr>
      <w:pict w14:anchorId="730920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1025" type="#_x0000_t75" alt="Herts_logo_endorse_black" style="position:absolute;margin-left:326.55pt;margin-top:20.45pt;width:160.15pt;height:46.3pt;z-index:-1;visibility:visible;mso-wrap-edited:f;mso-width-percent:0;mso-height-percent:0;mso-position-vertical-relative:page;mso-width-percent:0;mso-height-percent:0">
          <v:imagedata r:id="rId1" o:title="Herts_logo_endorse_black"/>
          <w10:wrap anchory="page"/>
        </v:shape>
      </w:pict>
    </w:r>
  </w:p>
  <w:p w14:paraId="2D5CDE53" w14:textId="77777777" w:rsidR="002033BE" w:rsidRPr="00D266DA" w:rsidRDefault="002033BE" w:rsidP="00B07DB3">
    <w:pPr>
      <w:pStyle w:val="Header"/>
      <w:pBdr>
        <w:bottom w:val="thinThickSmallGap" w:sz="24" w:space="0" w:color="0070C0"/>
      </w:pBdr>
      <w:rPr>
        <w:b/>
        <w:sz w:val="16"/>
        <w:szCs w:val="16"/>
      </w:rPr>
    </w:pPr>
  </w:p>
  <w:p w14:paraId="5EC9D77D" w14:textId="77777777" w:rsidR="002033BE" w:rsidRPr="00061DF3" w:rsidRDefault="002033BE" w:rsidP="00B07DB3">
    <w:pPr>
      <w:pStyle w:val="Header"/>
      <w:pBdr>
        <w:bottom w:val="thinThickSmallGap" w:sz="24" w:space="0" w:color="0070C0"/>
      </w:pBdr>
      <w:rPr>
        <w:b/>
      </w:rPr>
    </w:pPr>
    <w:r w:rsidRPr="00061DF3">
      <w:rPr>
        <w:b/>
      </w:rPr>
      <w:t xml:space="preserve">Short Course Descriptor </w:t>
    </w:r>
    <w:r>
      <w:rPr>
        <w:b/>
      </w:rPr>
      <w:t xml:space="preserve">– Level </w:t>
    </w:r>
    <w:bookmarkEnd w:id="10"/>
    <w:bookmarkEnd w:id="11"/>
    <w:bookmarkEnd w:id="12"/>
    <w:r>
      <w:rPr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4673"/>
    <w:multiLevelType w:val="hybridMultilevel"/>
    <w:tmpl w:val="9C5115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EDCB9F"/>
    <w:multiLevelType w:val="hybridMultilevel"/>
    <w:tmpl w:val="C0FD99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707BA"/>
    <w:multiLevelType w:val="hybridMultilevel"/>
    <w:tmpl w:val="C413E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367F46"/>
    <w:multiLevelType w:val="hybridMultilevel"/>
    <w:tmpl w:val="FC945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45E4964"/>
    <w:multiLevelType w:val="hybridMultilevel"/>
    <w:tmpl w:val="CD02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E784C"/>
    <w:multiLevelType w:val="hybridMultilevel"/>
    <w:tmpl w:val="A07647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EF6E1A"/>
    <w:multiLevelType w:val="hybridMultilevel"/>
    <w:tmpl w:val="483C8A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026CD1"/>
    <w:multiLevelType w:val="hybridMultilevel"/>
    <w:tmpl w:val="935A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284"/>
    <w:multiLevelType w:val="hybridMultilevel"/>
    <w:tmpl w:val="6824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1FD6"/>
    <w:multiLevelType w:val="hybridMultilevel"/>
    <w:tmpl w:val="1ECF0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C1C5C"/>
    <w:multiLevelType w:val="hybridMultilevel"/>
    <w:tmpl w:val="6DFE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6890"/>
    <w:multiLevelType w:val="hybridMultilevel"/>
    <w:tmpl w:val="4F42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065F"/>
    <w:multiLevelType w:val="hybridMultilevel"/>
    <w:tmpl w:val="D61E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19BB"/>
    <w:multiLevelType w:val="hybridMultilevel"/>
    <w:tmpl w:val="CA2EE14E"/>
    <w:lvl w:ilvl="0" w:tplc="92B01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1B68"/>
    <w:multiLevelType w:val="hybridMultilevel"/>
    <w:tmpl w:val="4564B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DE741A"/>
    <w:multiLevelType w:val="hybridMultilevel"/>
    <w:tmpl w:val="3688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7637"/>
    <w:multiLevelType w:val="hybridMultilevel"/>
    <w:tmpl w:val="B874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4903"/>
    <w:multiLevelType w:val="hybridMultilevel"/>
    <w:tmpl w:val="DFB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AAC"/>
    <w:multiLevelType w:val="hybridMultilevel"/>
    <w:tmpl w:val="E2F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045D3"/>
    <w:multiLevelType w:val="hybridMultilevel"/>
    <w:tmpl w:val="E97CD44A"/>
    <w:lvl w:ilvl="0" w:tplc="210634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86B6B"/>
    <w:multiLevelType w:val="hybridMultilevel"/>
    <w:tmpl w:val="8418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8515E"/>
    <w:multiLevelType w:val="hybridMultilevel"/>
    <w:tmpl w:val="3022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49CC"/>
    <w:multiLevelType w:val="hybridMultilevel"/>
    <w:tmpl w:val="1854C4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AB1477"/>
    <w:multiLevelType w:val="hybridMultilevel"/>
    <w:tmpl w:val="953C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EDA"/>
    <w:multiLevelType w:val="hybridMultilevel"/>
    <w:tmpl w:val="7F94BE0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6" w15:restartNumberingAfterBreak="0">
    <w:nsid w:val="61E67E06"/>
    <w:multiLevelType w:val="hybridMultilevel"/>
    <w:tmpl w:val="E948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14E44"/>
    <w:multiLevelType w:val="hybridMultilevel"/>
    <w:tmpl w:val="8A08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48692">
    <w:abstractNumId w:val="0"/>
  </w:num>
  <w:num w:numId="2" w16cid:durableId="417291177">
    <w:abstractNumId w:val="1"/>
  </w:num>
  <w:num w:numId="3" w16cid:durableId="1699894180">
    <w:abstractNumId w:val="15"/>
  </w:num>
  <w:num w:numId="4" w16cid:durableId="151142918">
    <w:abstractNumId w:val="10"/>
  </w:num>
  <w:num w:numId="5" w16cid:durableId="1980646172">
    <w:abstractNumId w:val="2"/>
  </w:num>
  <w:num w:numId="6" w16cid:durableId="1430346577">
    <w:abstractNumId w:val="23"/>
  </w:num>
  <w:num w:numId="7" w16cid:durableId="1520503054">
    <w:abstractNumId w:val="3"/>
  </w:num>
  <w:num w:numId="8" w16cid:durableId="360136182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89260010">
    <w:abstractNumId w:val="11"/>
  </w:num>
  <w:num w:numId="10" w16cid:durableId="810943094">
    <w:abstractNumId w:val="7"/>
  </w:num>
  <w:num w:numId="11" w16cid:durableId="1680043760">
    <w:abstractNumId w:val="6"/>
  </w:num>
  <w:num w:numId="12" w16cid:durableId="37975382">
    <w:abstractNumId w:val="17"/>
  </w:num>
  <w:num w:numId="13" w16cid:durableId="2018456185">
    <w:abstractNumId w:val="27"/>
  </w:num>
  <w:num w:numId="14" w16cid:durableId="640111268">
    <w:abstractNumId w:val="12"/>
  </w:num>
  <w:num w:numId="15" w16cid:durableId="1654140277">
    <w:abstractNumId w:val="25"/>
  </w:num>
  <w:num w:numId="16" w16cid:durableId="2055035795">
    <w:abstractNumId w:val="9"/>
  </w:num>
  <w:num w:numId="17" w16cid:durableId="1730109614">
    <w:abstractNumId w:val="26"/>
  </w:num>
  <w:num w:numId="18" w16cid:durableId="153648036">
    <w:abstractNumId w:val="24"/>
  </w:num>
  <w:num w:numId="19" w16cid:durableId="598414088">
    <w:abstractNumId w:val="19"/>
  </w:num>
  <w:num w:numId="20" w16cid:durableId="656307451">
    <w:abstractNumId w:val="8"/>
  </w:num>
  <w:num w:numId="21" w16cid:durableId="1627422216">
    <w:abstractNumId w:val="16"/>
  </w:num>
  <w:num w:numId="22" w16cid:durableId="1293247436">
    <w:abstractNumId w:val="22"/>
  </w:num>
  <w:num w:numId="23" w16cid:durableId="422992130">
    <w:abstractNumId w:val="18"/>
  </w:num>
  <w:num w:numId="24" w16cid:durableId="1086994333">
    <w:abstractNumId w:val="5"/>
  </w:num>
  <w:num w:numId="25" w16cid:durableId="14114437">
    <w:abstractNumId w:val="13"/>
  </w:num>
  <w:num w:numId="26" w16cid:durableId="1647661648">
    <w:abstractNumId w:val="21"/>
  </w:num>
  <w:num w:numId="27" w16cid:durableId="1186096471">
    <w:abstractNumId w:val="14"/>
  </w:num>
  <w:num w:numId="28" w16cid:durableId="10321940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oNotTrackMoves/>
  <w:documentProtection w:edit="forms" w:formatting="1" w:enforcement="1" w:cryptProviderType="rsaFull" w:cryptAlgorithmClass="hash" w:cryptAlgorithmType="typeAny" w:cryptAlgorithmSid="4" w:cryptSpinCount="100000" w:hash="sXZ7/jQzhuqejaPTDK7XjnKecBE=" w:salt="IdTzYWIozh3yBNb/rOkfVg==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BD"/>
    <w:rsid w:val="000133D3"/>
    <w:rsid w:val="00016A71"/>
    <w:rsid w:val="00033090"/>
    <w:rsid w:val="00037C43"/>
    <w:rsid w:val="000408F5"/>
    <w:rsid w:val="000432C1"/>
    <w:rsid w:val="000466F6"/>
    <w:rsid w:val="00055189"/>
    <w:rsid w:val="0005610D"/>
    <w:rsid w:val="000631AE"/>
    <w:rsid w:val="00063FD9"/>
    <w:rsid w:val="00066028"/>
    <w:rsid w:val="00070E2F"/>
    <w:rsid w:val="0008074A"/>
    <w:rsid w:val="00085388"/>
    <w:rsid w:val="00090D2E"/>
    <w:rsid w:val="000A439D"/>
    <w:rsid w:val="000A5285"/>
    <w:rsid w:val="000B1243"/>
    <w:rsid w:val="000B2273"/>
    <w:rsid w:val="000B5FB6"/>
    <w:rsid w:val="000B73D9"/>
    <w:rsid w:val="000C200B"/>
    <w:rsid w:val="000D3856"/>
    <w:rsid w:val="000E3130"/>
    <w:rsid w:val="000F1EB7"/>
    <w:rsid w:val="000F2C1D"/>
    <w:rsid w:val="000F42CF"/>
    <w:rsid w:val="00100F62"/>
    <w:rsid w:val="00101893"/>
    <w:rsid w:val="00106283"/>
    <w:rsid w:val="00117413"/>
    <w:rsid w:val="00131F48"/>
    <w:rsid w:val="00136D48"/>
    <w:rsid w:val="0014155E"/>
    <w:rsid w:val="00141C1A"/>
    <w:rsid w:val="00147452"/>
    <w:rsid w:val="00150677"/>
    <w:rsid w:val="00170899"/>
    <w:rsid w:val="0017144E"/>
    <w:rsid w:val="00173482"/>
    <w:rsid w:val="00174A51"/>
    <w:rsid w:val="001909D9"/>
    <w:rsid w:val="00192126"/>
    <w:rsid w:val="001A26DA"/>
    <w:rsid w:val="001C4C13"/>
    <w:rsid w:val="001E0182"/>
    <w:rsid w:val="001E07CB"/>
    <w:rsid w:val="001F5DB0"/>
    <w:rsid w:val="002033BE"/>
    <w:rsid w:val="00205750"/>
    <w:rsid w:val="00212D61"/>
    <w:rsid w:val="00220DC4"/>
    <w:rsid w:val="00245355"/>
    <w:rsid w:val="0025788A"/>
    <w:rsid w:val="00261079"/>
    <w:rsid w:val="00281539"/>
    <w:rsid w:val="0028313E"/>
    <w:rsid w:val="00283B5B"/>
    <w:rsid w:val="00294865"/>
    <w:rsid w:val="00297ED0"/>
    <w:rsid w:val="002C6620"/>
    <w:rsid w:val="002C679B"/>
    <w:rsid w:val="002D0405"/>
    <w:rsid w:val="002D0F8D"/>
    <w:rsid w:val="002D214A"/>
    <w:rsid w:val="002D7F5A"/>
    <w:rsid w:val="00304296"/>
    <w:rsid w:val="00312D38"/>
    <w:rsid w:val="00313641"/>
    <w:rsid w:val="00322FC9"/>
    <w:rsid w:val="003350B0"/>
    <w:rsid w:val="00340BF0"/>
    <w:rsid w:val="00356B0E"/>
    <w:rsid w:val="00374BBB"/>
    <w:rsid w:val="00391956"/>
    <w:rsid w:val="003A22EC"/>
    <w:rsid w:val="003A4EEE"/>
    <w:rsid w:val="003A5736"/>
    <w:rsid w:val="003A74F5"/>
    <w:rsid w:val="003B2C30"/>
    <w:rsid w:val="003B6832"/>
    <w:rsid w:val="003C7D2C"/>
    <w:rsid w:val="003D43E0"/>
    <w:rsid w:val="003D68E3"/>
    <w:rsid w:val="003E01C7"/>
    <w:rsid w:val="003F2646"/>
    <w:rsid w:val="003F6F6D"/>
    <w:rsid w:val="004074D0"/>
    <w:rsid w:val="004257D5"/>
    <w:rsid w:val="00426902"/>
    <w:rsid w:val="004275FA"/>
    <w:rsid w:val="004308CB"/>
    <w:rsid w:val="00431F0C"/>
    <w:rsid w:val="00445591"/>
    <w:rsid w:val="00461523"/>
    <w:rsid w:val="00480F1B"/>
    <w:rsid w:val="00493C71"/>
    <w:rsid w:val="00494005"/>
    <w:rsid w:val="004A7D09"/>
    <w:rsid w:val="004B51B3"/>
    <w:rsid w:val="004C0010"/>
    <w:rsid w:val="004C0229"/>
    <w:rsid w:val="004C17F1"/>
    <w:rsid w:val="004C2820"/>
    <w:rsid w:val="004D79AE"/>
    <w:rsid w:val="004F7E3B"/>
    <w:rsid w:val="00504E75"/>
    <w:rsid w:val="005216BF"/>
    <w:rsid w:val="00532007"/>
    <w:rsid w:val="00536AE4"/>
    <w:rsid w:val="005378C0"/>
    <w:rsid w:val="005459B4"/>
    <w:rsid w:val="00550271"/>
    <w:rsid w:val="00553190"/>
    <w:rsid w:val="00557FA5"/>
    <w:rsid w:val="0056087B"/>
    <w:rsid w:val="0056170C"/>
    <w:rsid w:val="005622B3"/>
    <w:rsid w:val="005749EB"/>
    <w:rsid w:val="00576EAA"/>
    <w:rsid w:val="005777A6"/>
    <w:rsid w:val="00580E12"/>
    <w:rsid w:val="00580EA7"/>
    <w:rsid w:val="00582FA3"/>
    <w:rsid w:val="00586227"/>
    <w:rsid w:val="00597A3F"/>
    <w:rsid w:val="005A672E"/>
    <w:rsid w:val="005B4599"/>
    <w:rsid w:val="005B7842"/>
    <w:rsid w:val="005C1475"/>
    <w:rsid w:val="005C70AF"/>
    <w:rsid w:val="005F0ADE"/>
    <w:rsid w:val="005F30D8"/>
    <w:rsid w:val="00615A5C"/>
    <w:rsid w:val="00622693"/>
    <w:rsid w:val="00637F97"/>
    <w:rsid w:val="00640BD7"/>
    <w:rsid w:val="00661275"/>
    <w:rsid w:val="00664195"/>
    <w:rsid w:val="006755DB"/>
    <w:rsid w:val="0067780B"/>
    <w:rsid w:val="00680D37"/>
    <w:rsid w:val="00686943"/>
    <w:rsid w:val="00686A72"/>
    <w:rsid w:val="006913E5"/>
    <w:rsid w:val="00691A75"/>
    <w:rsid w:val="006A19EC"/>
    <w:rsid w:val="006A70C6"/>
    <w:rsid w:val="006B1B5B"/>
    <w:rsid w:val="006B6299"/>
    <w:rsid w:val="006B7B15"/>
    <w:rsid w:val="006C4101"/>
    <w:rsid w:val="006D7674"/>
    <w:rsid w:val="006E32E1"/>
    <w:rsid w:val="006E3D3E"/>
    <w:rsid w:val="006E5427"/>
    <w:rsid w:val="006F5796"/>
    <w:rsid w:val="0070514A"/>
    <w:rsid w:val="00721F61"/>
    <w:rsid w:val="00736C80"/>
    <w:rsid w:val="0074012A"/>
    <w:rsid w:val="00746B07"/>
    <w:rsid w:val="00747C17"/>
    <w:rsid w:val="00751640"/>
    <w:rsid w:val="00757229"/>
    <w:rsid w:val="007603CB"/>
    <w:rsid w:val="0076137B"/>
    <w:rsid w:val="00763859"/>
    <w:rsid w:val="00765941"/>
    <w:rsid w:val="00777313"/>
    <w:rsid w:val="007830D1"/>
    <w:rsid w:val="00794346"/>
    <w:rsid w:val="007967D0"/>
    <w:rsid w:val="007A073C"/>
    <w:rsid w:val="007A1AE7"/>
    <w:rsid w:val="007A415F"/>
    <w:rsid w:val="007A5451"/>
    <w:rsid w:val="007B11E7"/>
    <w:rsid w:val="007B1B95"/>
    <w:rsid w:val="007C083A"/>
    <w:rsid w:val="007C37F0"/>
    <w:rsid w:val="007C47DB"/>
    <w:rsid w:val="007C6250"/>
    <w:rsid w:val="007C7748"/>
    <w:rsid w:val="007D138D"/>
    <w:rsid w:val="007D2244"/>
    <w:rsid w:val="007D29EA"/>
    <w:rsid w:val="007D3456"/>
    <w:rsid w:val="007E0C4F"/>
    <w:rsid w:val="007E3AB6"/>
    <w:rsid w:val="007F403F"/>
    <w:rsid w:val="007F6C21"/>
    <w:rsid w:val="00801B77"/>
    <w:rsid w:val="00823185"/>
    <w:rsid w:val="00824371"/>
    <w:rsid w:val="008260A1"/>
    <w:rsid w:val="00827D3F"/>
    <w:rsid w:val="00830100"/>
    <w:rsid w:val="00830C67"/>
    <w:rsid w:val="00844396"/>
    <w:rsid w:val="00851200"/>
    <w:rsid w:val="00853493"/>
    <w:rsid w:val="00861987"/>
    <w:rsid w:val="00863C4C"/>
    <w:rsid w:val="008729F5"/>
    <w:rsid w:val="00875F9B"/>
    <w:rsid w:val="00876D5E"/>
    <w:rsid w:val="008858FE"/>
    <w:rsid w:val="0089278E"/>
    <w:rsid w:val="008958B3"/>
    <w:rsid w:val="00896A42"/>
    <w:rsid w:val="008A624E"/>
    <w:rsid w:val="008A6DDD"/>
    <w:rsid w:val="008B6B72"/>
    <w:rsid w:val="008E3219"/>
    <w:rsid w:val="008E63ED"/>
    <w:rsid w:val="008F6B4F"/>
    <w:rsid w:val="00915D8E"/>
    <w:rsid w:val="00917B26"/>
    <w:rsid w:val="00924A13"/>
    <w:rsid w:val="00925865"/>
    <w:rsid w:val="00930005"/>
    <w:rsid w:val="00935918"/>
    <w:rsid w:val="00944C3E"/>
    <w:rsid w:val="009462D2"/>
    <w:rsid w:val="00947FD9"/>
    <w:rsid w:val="00950284"/>
    <w:rsid w:val="00954042"/>
    <w:rsid w:val="00977312"/>
    <w:rsid w:val="0098499F"/>
    <w:rsid w:val="009906B9"/>
    <w:rsid w:val="009911F6"/>
    <w:rsid w:val="0099463B"/>
    <w:rsid w:val="009C085A"/>
    <w:rsid w:val="009D5589"/>
    <w:rsid w:val="009E054A"/>
    <w:rsid w:val="009F3969"/>
    <w:rsid w:val="009F7078"/>
    <w:rsid w:val="00A0052F"/>
    <w:rsid w:val="00A044A8"/>
    <w:rsid w:val="00A06B91"/>
    <w:rsid w:val="00A0705B"/>
    <w:rsid w:val="00A10414"/>
    <w:rsid w:val="00A108CF"/>
    <w:rsid w:val="00A134AC"/>
    <w:rsid w:val="00A15586"/>
    <w:rsid w:val="00A22BCB"/>
    <w:rsid w:val="00A23FAF"/>
    <w:rsid w:val="00A33089"/>
    <w:rsid w:val="00A3309E"/>
    <w:rsid w:val="00A45AD0"/>
    <w:rsid w:val="00A473A8"/>
    <w:rsid w:val="00A55365"/>
    <w:rsid w:val="00A61F6F"/>
    <w:rsid w:val="00A8034E"/>
    <w:rsid w:val="00A8262A"/>
    <w:rsid w:val="00A85830"/>
    <w:rsid w:val="00AA41F3"/>
    <w:rsid w:val="00AA54FE"/>
    <w:rsid w:val="00AB77F0"/>
    <w:rsid w:val="00AC1BC9"/>
    <w:rsid w:val="00AC5A86"/>
    <w:rsid w:val="00AD3B29"/>
    <w:rsid w:val="00AE2164"/>
    <w:rsid w:val="00AE2FDF"/>
    <w:rsid w:val="00AF0098"/>
    <w:rsid w:val="00AF5FCF"/>
    <w:rsid w:val="00B07DB3"/>
    <w:rsid w:val="00B13965"/>
    <w:rsid w:val="00B22784"/>
    <w:rsid w:val="00B23D67"/>
    <w:rsid w:val="00B243BD"/>
    <w:rsid w:val="00B26BCC"/>
    <w:rsid w:val="00B32218"/>
    <w:rsid w:val="00B3640D"/>
    <w:rsid w:val="00B449E1"/>
    <w:rsid w:val="00B54DA2"/>
    <w:rsid w:val="00B6674E"/>
    <w:rsid w:val="00B81CFB"/>
    <w:rsid w:val="00B836E8"/>
    <w:rsid w:val="00B84A04"/>
    <w:rsid w:val="00B84C16"/>
    <w:rsid w:val="00B94421"/>
    <w:rsid w:val="00B9524C"/>
    <w:rsid w:val="00B971DC"/>
    <w:rsid w:val="00B97CB7"/>
    <w:rsid w:val="00BA024B"/>
    <w:rsid w:val="00BA61FA"/>
    <w:rsid w:val="00BB2D68"/>
    <w:rsid w:val="00BB3819"/>
    <w:rsid w:val="00BC488D"/>
    <w:rsid w:val="00BD0B9A"/>
    <w:rsid w:val="00BD6176"/>
    <w:rsid w:val="00BF6A28"/>
    <w:rsid w:val="00C01C6F"/>
    <w:rsid w:val="00C077B4"/>
    <w:rsid w:val="00C13403"/>
    <w:rsid w:val="00C233EA"/>
    <w:rsid w:val="00C24052"/>
    <w:rsid w:val="00C263A8"/>
    <w:rsid w:val="00C27DFB"/>
    <w:rsid w:val="00C344B1"/>
    <w:rsid w:val="00C37A2D"/>
    <w:rsid w:val="00C61BF0"/>
    <w:rsid w:val="00C64946"/>
    <w:rsid w:val="00C67B3C"/>
    <w:rsid w:val="00C71BF8"/>
    <w:rsid w:val="00C75548"/>
    <w:rsid w:val="00C824E4"/>
    <w:rsid w:val="00C90076"/>
    <w:rsid w:val="00CC2576"/>
    <w:rsid w:val="00CC5418"/>
    <w:rsid w:val="00CD6C1D"/>
    <w:rsid w:val="00CD79A1"/>
    <w:rsid w:val="00CE76CF"/>
    <w:rsid w:val="00CF042B"/>
    <w:rsid w:val="00CF1DA7"/>
    <w:rsid w:val="00CF25AD"/>
    <w:rsid w:val="00D32741"/>
    <w:rsid w:val="00D368D3"/>
    <w:rsid w:val="00D54B8F"/>
    <w:rsid w:val="00D55567"/>
    <w:rsid w:val="00D62AFD"/>
    <w:rsid w:val="00D70473"/>
    <w:rsid w:val="00D70FA2"/>
    <w:rsid w:val="00D83389"/>
    <w:rsid w:val="00D945E9"/>
    <w:rsid w:val="00D95D2C"/>
    <w:rsid w:val="00D96D81"/>
    <w:rsid w:val="00DA4CA9"/>
    <w:rsid w:val="00DB34CF"/>
    <w:rsid w:val="00DB7C6F"/>
    <w:rsid w:val="00DC2014"/>
    <w:rsid w:val="00DD0885"/>
    <w:rsid w:val="00DD1292"/>
    <w:rsid w:val="00DD4543"/>
    <w:rsid w:val="00DD7E28"/>
    <w:rsid w:val="00DE368A"/>
    <w:rsid w:val="00E00FF0"/>
    <w:rsid w:val="00E062C7"/>
    <w:rsid w:val="00E067F5"/>
    <w:rsid w:val="00E15E03"/>
    <w:rsid w:val="00E1655A"/>
    <w:rsid w:val="00E218C0"/>
    <w:rsid w:val="00E24C02"/>
    <w:rsid w:val="00E31A37"/>
    <w:rsid w:val="00E31E81"/>
    <w:rsid w:val="00E463D0"/>
    <w:rsid w:val="00E75DD8"/>
    <w:rsid w:val="00E76BE4"/>
    <w:rsid w:val="00E87229"/>
    <w:rsid w:val="00E907F5"/>
    <w:rsid w:val="00E92C79"/>
    <w:rsid w:val="00E93A17"/>
    <w:rsid w:val="00E95049"/>
    <w:rsid w:val="00E9769A"/>
    <w:rsid w:val="00EA2FE5"/>
    <w:rsid w:val="00EA64C5"/>
    <w:rsid w:val="00EB52DA"/>
    <w:rsid w:val="00EB79EF"/>
    <w:rsid w:val="00EC21E8"/>
    <w:rsid w:val="00EC3944"/>
    <w:rsid w:val="00EC3C72"/>
    <w:rsid w:val="00EC535A"/>
    <w:rsid w:val="00ED0027"/>
    <w:rsid w:val="00ED4AFA"/>
    <w:rsid w:val="00F02903"/>
    <w:rsid w:val="00F03EB0"/>
    <w:rsid w:val="00F11601"/>
    <w:rsid w:val="00F12166"/>
    <w:rsid w:val="00F136CA"/>
    <w:rsid w:val="00F227F1"/>
    <w:rsid w:val="00F33C5C"/>
    <w:rsid w:val="00F4230D"/>
    <w:rsid w:val="00F47E40"/>
    <w:rsid w:val="00F50862"/>
    <w:rsid w:val="00F61950"/>
    <w:rsid w:val="00F656DB"/>
    <w:rsid w:val="00F66F88"/>
    <w:rsid w:val="00F67469"/>
    <w:rsid w:val="00F6759E"/>
    <w:rsid w:val="00F85948"/>
    <w:rsid w:val="00F9514B"/>
    <w:rsid w:val="00FA14EC"/>
    <w:rsid w:val="00FA29F6"/>
    <w:rsid w:val="00FA5780"/>
    <w:rsid w:val="00FB1355"/>
    <w:rsid w:val="00FB3E30"/>
    <w:rsid w:val="00FB6275"/>
    <w:rsid w:val="00FC33B7"/>
    <w:rsid w:val="00FC3EDE"/>
    <w:rsid w:val="00FC587C"/>
    <w:rsid w:val="00FC7A4C"/>
    <w:rsid w:val="00FD5620"/>
    <w:rsid w:val="00FE01D6"/>
    <w:rsid w:val="00FE0A80"/>
    <w:rsid w:val="00FE343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47013B"/>
  <w15:docId w15:val="{EFD977A1-4D73-4FAC-AC01-C8964568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61"/>
    <w:rPr>
      <w:rFonts w:ascii="Arial" w:hAnsi="Arial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21F6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21F61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21F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rsid w:val="00721F61"/>
    <w:pPr>
      <w:spacing w:line="233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21F61"/>
    <w:pPr>
      <w:spacing w:line="24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21F61"/>
    <w:pPr>
      <w:spacing w:line="24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1F61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F7E3B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link w:val="BodyText"/>
    <w:semiHidden/>
    <w:rsid w:val="004F7E3B"/>
    <w:rPr>
      <w:rFonts w:ascii="Times New Roman" w:eastAsia="Times New Roman" w:hAnsi="Times New Roman"/>
      <w:sz w:val="24"/>
      <w:lang w:val="en-US" w:eastAsia="en-US"/>
    </w:rPr>
  </w:style>
  <w:style w:type="character" w:styleId="Hyperlink">
    <w:name w:val="Hyperlink"/>
    <w:uiPriority w:val="99"/>
    <w:unhideWhenUsed/>
    <w:rsid w:val="00B84A04"/>
    <w:rPr>
      <w:color w:val="0000FF"/>
      <w:u w:val="single"/>
    </w:rPr>
  </w:style>
  <w:style w:type="character" w:styleId="Emphasis">
    <w:name w:val="Emphasis"/>
    <w:uiPriority w:val="20"/>
    <w:qFormat/>
    <w:rsid w:val="00F50862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042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4.Patel@hert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rqdp\Local%20Settings\Temporary%20Internet%20Files\Content.IE5\4V8HOXO7\SCD_level_3_AR_amended_02_SEP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Props1.xml><?xml version="1.0" encoding="utf-8"?>
<ds:datastoreItem xmlns:ds="http://schemas.openxmlformats.org/officeDocument/2006/customXml" ds:itemID="{C2C304C8-FAFC-46FE-BE8E-E71CEC9EE213}"/>
</file>

<file path=customXml/itemProps2.xml><?xml version="1.0" encoding="utf-8"?>
<ds:datastoreItem xmlns:ds="http://schemas.openxmlformats.org/officeDocument/2006/customXml" ds:itemID="{8F2EA7AC-DE54-40E3-AB3B-F3CB58530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AF525A-8643-40FB-BAD3-BC1A76DE6B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399241-A724-4A37-A62A-F543274BB1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Settings\acrqdp\Local Settings\Temporary Internet Files\Content.IE5\4V8HOXO7\SCD_level_3_AR_amended_02_SEPT[1].dot</Template>
  <TotalTime>6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6603</CharactersWithSpaces>
  <SharedDoc>false</SharedDoc>
  <HLinks>
    <vt:vector size="6" baseType="variant">
      <vt:variant>
        <vt:i4>1507367</vt:i4>
      </vt:variant>
      <vt:variant>
        <vt:i4>196</vt:i4>
      </vt:variant>
      <vt:variant>
        <vt:i4>0</vt:i4>
      </vt:variant>
      <vt:variant>
        <vt:i4>5</vt:i4>
      </vt:variant>
      <vt:variant>
        <vt:lpwstr>mailto:D.4.Patel@herts.ac.uk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acrqdp</dc:creator>
  <cp:lastModifiedBy>Stefanie Schmeer</cp:lastModifiedBy>
  <cp:revision>20</cp:revision>
  <cp:lastPrinted>2014-08-04T09:33:00Z</cp:lastPrinted>
  <dcterms:created xsi:type="dcterms:W3CDTF">2025-05-30T08:07:00Z</dcterms:created>
  <dcterms:modified xsi:type="dcterms:W3CDTF">2025-07-29T12:00:00Z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GrammarlyDocumentId">
    <vt:lpwstr>dc58d698-df1f-48da-8eb8-cb56e54a06a9</vt:lpwstr>
  </property>
  <property fmtid="{D5CDD505-2E9C-101B-9397-08002B2CF9AE}" pid="4" name="MediaServiceImageTags">
    <vt:lpwstr/>
  </property>
</Properties>
</file>